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平成</w:t>
      </w:r>
      <w:r w:rsidDel="00000000" w:rsidR="00000000" w:rsidRPr="00000000">
        <w:rPr>
          <w:rFonts w:ascii="Arimo" w:cs="Arimo" w:eastAsia="Arimo" w:hAnsi="Arimo"/>
          <w:rtl w:val="0"/>
        </w:rPr>
        <w:t xml:space="preserve">30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年度事業計画書</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平成</w:t>
      </w:r>
      <w:r w:rsidDel="00000000" w:rsidR="00000000" w:rsidRPr="00000000">
        <w:rPr>
          <w:rFonts w:ascii="Arimo" w:cs="Arimo" w:eastAsia="Arimo" w:hAnsi="Arimo"/>
          <w:rtl w:val="0"/>
        </w:rPr>
        <w:t xml:space="preserve">30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年7月1日から平成3</w:t>
      </w:r>
      <w:r w:rsidDel="00000000" w:rsidR="00000000" w:rsidRPr="00000000">
        <w:rPr>
          <w:rFonts w:ascii="Arimo" w:cs="Arimo" w:eastAsia="Arimo" w:hAnsi="Arimo"/>
          <w:rtl w:val="0"/>
        </w:rPr>
        <w:t xml:space="preserve">1</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年6月30日まで</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一般社団法人防災ガール</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１　事業実施の方針</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Unicode MS" w:cs="Arial Unicode MS" w:eastAsia="Arial Unicode MS" w:hAnsi="Arial Unicode MS"/>
          <w:rtl w:val="0"/>
        </w:rPr>
        <w:t xml:space="preserve">　2013年に立ち上がり、2015年に法人化、さらに2017年にロゴやタグラインを変えて</w:t>
      </w:r>
      <w:r w:rsidDel="00000000" w:rsidR="00000000" w:rsidRPr="00000000">
        <w:rPr>
          <w:rFonts w:ascii="Arial Unicode MS" w:cs="Arial Unicode MS" w:eastAsia="Arial Unicode MS" w:hAnsi="Arial Unicode MS"/>
          <w:rtl w:val="0"/>
        </w:rPr>
        <w:t xml:space="preserve">、この</w:t>
      </w:r>
      <w:r w:rsidDel="00000000" w:rsidR="00000000" w:rsidRPr="00000000">
        <w:rPr>
          <w:rFonts w:ascii="Arial Unicode MS" w:cs="Arial Unicode MS" w:eastAsia="Arial Unicode MS" w:hAnsi="Arial Unicode MS"/>
          <w:rtl w:val="0"/>
        </w:rPr>
        <w:t xml:space="preserve">1年で私たち防災ガールはより自分たちがなすべきことに集中してきました。これまでの事業を辞め必要最低限の事業へと整理、メンバーや運営体制も「防災が当たり前の世の中に」するためにより良い体制へと微調整してきました。さらには、これまで団体を運営するために必要な資金調達を外部企業・行政・財団などからの事業委託や助成金により賄って来ましたが、もっとも注力したいところにリソースがさけていないという課題解決のため、2018年からは注力したい事業に集中すべく委託事業を辞めることを決断。もっとも効果が見込め、私たちの強みを活かせる「webメディア」の運営に注力することに決めました。　一般社団法人防災ガール平成30年度は、前年度の方針を引き継ぎ「webメディアの運営」を核とします。また、過去5年間の培った学びや知識を「まとめ」ることにより自団体だけでなくその他の団体や業界のナレッジへと昇華していきます。</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1d2129"/>
          <w:sz w:val="24"/>
          <w:szCs w:val="24"/>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２　事業の実施に関する事項</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6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平成</w:t>
      </w:r>
      <w:r w:rsidDel="00000000" w:rsidR="00000000" w:rsidRPr="00000000">
        <w:rPr>
          <w:rFonts w:ascii="Arial" w:cs="Arial" w:eastAsia="Arial" w:hAnsi="Arial"/>
          <w:rtl w:val="0"/>
        </w:rPr>
        <w:t xml:space="preserve">30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年度目標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rtl w:val="0"/>
        </w:rPr>
        <w:t xml:space="preserve">webメディアの質の向上・閲覧者数の向上</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rtl w:val="0"/>
        </w:rPr>
        <w:t xml:space="preserve">活動内容や知恵の整理、出版や論文など外向けのアウトプット</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00" w:right="0" w:hanging="6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事業ごとの計画</w:t>
        <w:br w:type="textWrapping"/>
      </w:r>
      <w:r w:rsidDel="00000000" w:rsidR="00000000" w:rsidRPr="00000000">
        <w:rPr>
          <w:rtl w:val="0"/>
        </w:rPr>
      </w:r>
    </w:p>
    <w:tbl>
      <w:tblPr>
        <w:tblStyle w:val="Table1"/>
        <w:tblW w:w="1014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1995"/>
        <w:gridCol w:w="1335"/>
        <w:gridCol w:w="870"/>
        <w:gridCol w:w="1545"/>
        <w:gridCol w:w="1170"/>
        <w:gridCol w:w="1185"/>
        <w:tblGridChange w:id="0">
          <w:tblGrid>
            <w:gridCol w:w="2040"/>
            <w:gridCol w:w="1995"/>
            <w:gridCol w:w="1335"/>
            <w:gridCol w:w="870"/>
            <w:gridCol w:w="1545"/>
            <w:gridCol w:w="1170"/>
            <w:gridCol w:w="1185"/>
          </w:tblGrid>
        </w:tblGridChange>
      </w:tblGrid>
      <w:tr>
        <w:tc>
          <w:tcP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事業名</w:t>
            </w: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プロジェクト名</w:t>
            </w:r>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実施予定日</w:t>
            </w: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従事者</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予定</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人数</w:t>
            </w: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受益対象者</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の範囲</w:t>
            </w:r>
            <w:r w:rsidDel="00000000" w:rsidR="00000000" w:rsidRPr="00000000">
              <w:rPr>
                <w:rtl w:val="0"/>
              </w:rPr>
            </w:r>
          </w:p>
        </w:tc>
        <w:tc>
          <w:tcP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収入</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見込み額</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(千円)</w:t>
            </w: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支出</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見込み額</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(千円)</w:t>
            </w:r>
            <w:r w:rsidDel="00000000" w:rsidR="00000000" w:rsidRPr="00000000">
              <w:rPr>
                <w:rtl w:val="0"/>
              </w:rPr>
            </w:r>
          </w:p>
        </w:tc>
      </w:tr>
      <w:tr>
        <w:tc>
          <w:tcPr>
            <w:vAlign w:val="center"/>
          </w:tcPr>
          <w:p w:rsidR="00000000" w:rsidDel="00000000" w:rsidP="00000000" w:rsidRDefault="00000000" w:rsidRPr="00000000" w14:paraId="0000001E">
            <w:pPr>
              <w:contextualSpacing w:val="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(4)  情報発信事業</w:t>
            </w: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出版化</w:t>
            </w: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sz w:val="20"/>
                <w:szCs w:val="20"/>
                <w:rtl w:val="0"/>
              </w:rPr>
              <w:t xml:space="preserve">2019年3月</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2人</w:t>
            </w: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mo" w:cs="Arimo" w:eastAsia="Arimo" w:hAnsi="Arimo"/>
                <w:sz w:val="20"/>
                <w:szCs w:val="20"/>
              </w:rPr>
            </w:pPr>
            <w:r w:rsidDel="00000000" w:rsidR="00000000" w:rsidRPr="00000000">
              <w:rPr>
                <w:rFonts w:ascii="Arial Unicode MS" w:cs="Arial Unicode MS" w:eastAsia="Arial Unicode MS" w:hAnsi="Arial Unicode MS"/>
                <w:sz w:val="20"/>
                <w:szCs w:val="20"/>
                <w:rtl w:val="0"/>
              </w:rPr>
              <w:t xml:space="preserve">防災関係者</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mo" w:cs="Arimo" w:eastAsia="Arimo" w:hAnsi="Arimo"/>
                <w:sz w:val="20"/>
                <w:szCs w:val="20"/>
              </w:rPr>
            </w:pPr>
            <w:r w:rsidDel="00000000" w:rsidR="00000000" w:rsidRPr="00000000">
              <w:rPr>
                <w:rFonts w:ascii="Arial Unicode MS" w:cs="Arial Unicode MS" w:eastAsia="Arial Unicode MS" w:hAnsi="Arial Unicode MS"/>
                <w:sz w:val="20"/>
                <w:szCs w:val="20"/>
                <w:rtl w:val="0"/>
              </w:rPr>
              <w:t xml:space="preserve">NPO関係者</w:t>
            </w:r>
          </w:p>
        </w:tc>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t>
            </w:r>
          </w:p>
        </w:tc>
      </w:tr>
      <w:tr>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(4)  情報発信事業</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bosai-girl.com</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infoサイト</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SNS</w:t>
            </w:r>
          </w:p>
        </w:tc>
        <w:tc>
          <w:tcP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毎日</w:t>
            </w: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5人</w:t>
            </w: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閲覧者全員</w:t>
            </w: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c>
          <w:tcP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30</w:t>
            </w:r>
            <w:r w:rsidDel="00000000" w:rsidR="00000000" w:rsidRPr="00000000">
              <w:rPr>
                <w:rtl w:val="0"/>
              </w:rPr>
            </w:r>
          </w:p>
        </w:tc>
      </w:tr>
      <w:tr>
        <w:tc>
          <w:tcP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(5)  防災教育事業</w:t>
            </w: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講演・登壇</w:t>
            </w: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月1回</w:t>
            </w: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2</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人</w:t>
            </w: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参加者</w:t>
            </w: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000</w:t>
            </w:r>
          </w:p>
        </w:tc>
        <w:tc>
          <w:tcP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上記記載したものが主な事業とし、その他メディア出演や外部社会起業家育成プログラムへのサポートなど、これまでの学びや知識を発信する場への参加を見込んでいます。</w:t>
      </w:r>
      <w:r w:rsidDel="00000000" w:rsidR="00000000" w:rsidRPr="00000000">
        <w:rPr>
          <w:rtl w:val="0"/>
        </w:rPr>
      </w:r>
    </w:p>
    <w:sectPr>
      <w:pgSz w:h="16840" w:w="1190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firstLine="240"/>
      </w:pPr>
      <w:rPr/>
    </w:lvl>
    <w:lvl w:ilvl="1">
      <w:start w:val="1"/>
      <w:numFmt w:val="decimal"/>
      <w:lvlText w:val="(%2)"/>
      <w:lvlJc w:val="left"/>
      <w:pPr>
        <w:ind w:left="1200" w:firstLine="720"/>
      </w:pPr>
      <w:rPr/>
    </w:lvl>
    <w:lvl w:ilvl="2">
      <w:start w:val="1"/>
      <w:numFmt w:val="decimal"/>
      <w:lvlText w:val="%3"/>
      <w:lvlJc w:val="left"/>
      <w:pPr>
        <w:ind w:left="1680" w:firstLine="1200"/>
      </w:pPr>
      <w:rPr/>
    </w:lvl>
    <w:lvl w:ilvl="3">
      <w:start w:val="1"/>
      <w:numFmt w:val="decimal"/>
      <w:lvlText w:val="%4."/>
      <w:lvlJc w:val="left"/>
      <w:pPr>
        <w:ind w:left="2160" w:firstLine="1680"/>
      </w:pPr>
      <w:rPr/>
    </w:lvl>
    <w:lvl w:ilvl="4">
      <w:start w:val="1"/>
      <w:numFmt w:val="decimal"/>
      <w:lvlText w:val="(%5)"/>
      <w:lvlJc w:val="left"/>
      <w:pPr>
        <w:ind w:left="2640" w:firstLine="2160"/>
      </w:pPr>
      <w:rPr/>
    </w:lvl>
    <w:lvl w:ilvl="5">
      <w:start w:val="1"/>
      <w:numFmt w:val="decimal"/>
      <w:lvlText w:val="%6"/>
      <w:lvlJc w:val="left"/>
      <w:pPr>
        <w:ind w:left="3120" w:firstLine="2640"/>
      </w:pPr>
      <w:rPr/>
    </w:lvl>
    <w:lvl w:ilvl="6">
      <w:start w:val="1"/>
      <w:numFmt w:val="decimal"/>
      <w:lvlText w:val="%7."/>
      <w:lvlJc w:val="left"/>
      <w:pPr>
        <w:ind w:left="3600" w:firstLine="3120"/>
      </w:pPr>
      <w:rPr/>
    </w:lvl>
    <w:lvl w:ilvl="7">
      <w:start w:val="1"/>
      <w:numFmt w:val="decimal"/>
      <w:lvlText w:val="(%8)"/>
      <w:lvlJc w:val="left"/>
      <w:pPr>
        <w:ind w:left="4080" w:firstLine="3600"/>
      </w:pPr>
      <w:rPr/>
    </w:lvl>
    <w:lvl w:ilvl="8">
      <w:start w:val="1"/>
      <w:numFmt w:val="decimal"/>
      <w:lvlText w:val="%9"/>
      <w:lvlJc w:val="left"/>
      <w:pPr>
        <w:ind w:left="4560" w:firstLine="4080"/>
      </w:pPr>
      <w:rPr/>
    </w:lvl>
  </w:abstractNum>
  <w:abstractNum w:abstractNumId="2">
    <w:lvl w:ilvl="0">
      <w:start w:val="1"/>
      <w:numFmt w:val="decimal"/>
      <w:lvlText w:val="%1"/>
      <w:lvlJc w:val="left"/>
      <w:pPr>
        <w:ind w:left="1260" w:firstLine="900"/>
      </w:pPr>
      <w:rPr/>
    </w:lvl>
    <w:lvl w:ilvl="1">
      <w:start w:val="1"/>
      <w:numFmt w:val="decimal"/>
      <w:lvlText w:val="(%2)"/>
      <w:lvlJc w:val="left"/>
      <w:pPr>
        <w:ind w:left="1860" w:firstLine="1380"/>
      </w:pPr>
      <w:rPr/>
    </w:lvl>
    <w:lvl w:ilvl="2">
      <w:start w:val="1"/>
      <w:numFmt w:val="decimal"/>
      <w:lvlText w:val="%3"/>
      <w:lvlJc w:val="left"/>
      <w:pPr>
        <w:ind w:left="2340" w:firstLine="1860"/>
      </w:pPr>
      <w:rPr/>
    </w:lvl>
    <w:lvl w:ilvl="3">
      <w:start w:val="1"/>
      <w:numFmt w:val="decimal"/>
      <w:lvlText w:val="%4."/>
      <w:lvlJc w:val="left"/>
      <w:pPr>
        <w:ind w:left="2820" w:firstLine="2340"/>
      </w:pPr>
      <w:rPr/>
    </w:lvl>
    <w:lvl w:ilvl="4">
      <w:start w:val="1"/>
      <w:numFmt w:val="decimal"/>
      <w:lvlText w:val="(%5)"/>
      <w:lvlJc w:val="left"/>
      <w:pPr>
        <w:ind w:left="3300" w:firstLine="2820"/>
      </w:pPr>
      <w:rPr/>
    </w:lvl>
    <w:lvl w:ilvl="5">
      <w:start w:val="1"/>
      <w:numFmt w:val="decimal"/>
      <w:lvlText w:val="%6"/>
      <w:lvlJc w:val="left"/>
      <w:pPr>
        <w:ind w:left="3780" w:firstLine="3300"/>
      </w:pPr>
      <w:rPr/>
    </w:lvl>
    <w:lvl w:ilvl="6">
      <w:start w:val="1"/>
      <w:numFmt w:val="decimal"/>
      <w:lvlText w:val="%7."/>
      <w:lvlJc w:val="left"/>
      <w:pPr>
        <w:ind w:left="4260" w:firstLine="3780"/>
      </w:pPr>
      <w:rPr/>
    </w:lvl>
    <w:lvl w:ilvl="7">
      <w:start w:val="1"/>
      <w:numFmt w:val="decimal"/>
      <w:lvlText w:val="(%8)"/>
      <w:lvlJc w:val="left"/>
      <w:pPr>
        <w:ind w:left="4740" w:firstLine="4260"/>
      </w:pPr>
      <w:rPr/>
    </w:lvl>
    <w:lvl w:ilvl="8">
      <w:start w:val="1"/>
      <w:numFmt w:val="decimal"/>
      <w:lvlText w:val="%9"/>
      <w:lvlJc w:val="left"/>
      <w:pPr>
        <w:ind w:left="5220" w:firstLine="47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both"/>
    </w:pPr>
    <w:rPr>
      <w:rFonts w:ascii="Century" w:cs="Century" w:eastAsia="Century" w:hAnsi="Century"/>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both"/>
    </w:pPr>
    <w:rPr>
      <w:rFonts w:ascii="Century" w:cs="Century" w:eastAsia="Century" w:hAnsi="Century"/>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both"/>
    </w:pPr>
    <w:rPr>
      <w:rFonts w:ascii="Century" w:cs="Century" w:eastAsia="Century" w:hAnsi="Century"/>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both"/>
    </w:pPr>
    <w:rPr>
      <w:rFonts w:ascii="Century" w:cs="Century" w:eastAsia="Century" w:hAnsi="Century"/>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both"/>
    </w:pPr>
    <w:rPr>
      <w:rFonts w:ascii="Century" w:cs="Century" w:eastAsia="Century" w:hAnsi="Century"/>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both"/>
    </w:pPr>
    <w:rPr>
      <w:rFonts w:ascii="Century" w:cs="Century" w:eastAsia="Century" w:hAnsi="Century"/>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both"/>
    </w:pPr>
    <w:rPr>
      <w:rFonts w:ascii="Century" w:cs="Century" w:eastAsia="Century" w:hAnsi="Century"/>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contextualSpacing w:val="1"/>
    </w:pPr>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