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1D" w:rsidRPr="00E36C36" w:rsidRDefault="00D4151D" w:rsidP="00993EB9">
      <w:pPr>
        <w:jc w:val="center"/>
        <w:rPr>
          <w:rFonts w:ascii="HGS明朝E" w:eastAsia="HGS明朝E" w:cs="Times New Roman"/>
          <w:sz w:val="24"/>
          <w:szCs w:val="24"/>
        </w:rPr>
      </w:pPr>
      <w:r>
        <w:rPr>
          <w:rFonts w:ascii="HGS明朝E" w:eastAsia="HGS明朝E" w:cs="HGS明朝E" w:hint="eastAsia"/>
          <w:sz w:val="24"/>
          <w:szCs w:val="24"/>
        </w:rPr>
        <w:t>平成２７</w:t>
      </w:r>
      <w:r w:rsidRPr="00E36C36">
        <w:rPr>
          <w:rFonts w:ascii="HGS明朝E" w:eastAsia="HGS明朝E" w:cs="HGS明朝E" w:hint="eastAsia"/>
          <w:sz w:val="24"/>
          <w:szCs w:val="24"/>
        </w:rPr>
        <w:t>年度特定非営利活動に係る事業会計収支予算書</w:t>
      </w:r>
    </w:p>
    <w:p w:rsidR="00D4151D" w:rsidRDefault="00D4151D" w:rsidP="00915773">
      <w:pPr>
        <w:rPr>
          <w:rFonts w:cs="Times New Roman"/>
        </w:rPr>
      </w:pPr>
    </w:p>
    <w:p w:rsidR="00D4151D" w:rsidRDefault="00D4151D" w:rsidP="00915773">
      <w:pPr>
        <w:jc w:val="center"/>
        <w:rPr>
          <w:rFonts w:cs="Times New Roman"/>
        </w:rPr>
      </w:pPr>
      <w:r>
        <w:rPr>
          <w:rFonts w:cs="ＭＳ 明朝" w:hint="eastAsia"/>
        </w:rPr>
        <w:t>平成２７年４月１日から平成２８年３月３１日まで</w:t>
      </w:r>
    </w:p>
    <w:p w:rsidR="00D4151D" w:rsidRDefault="00D4151D" w:rsidP="00993EB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特定非営利活動法人サラン</w:t>
      </w:r>
    </w:p>
    <w:p w:rsidR="00D4151D" w:rsidRDefault="00D4151D" w:rsidP="00993EB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5"/>
        <w:gridCol w:w="1544"/>
        <w:gridCol w:w="1351"/>
        <w:gridCol w:w="1289"/>
      </w:tblGrid>
      <w:tr w:rsidR="00D4151D" w:rsidRPr="00AA74D6">
        <w:trPr>
          <w:trHeight w:val="345"/>
        </w:trPr>
        <w:tc>
          <w:tcPr>
            <w:tcW w:w="5455" w:type="dxa"/>
          </w:tcPr>
          <w:p w:rsidR="00D4151D" w:rsidRPr="00AA74D6" w:rsidRDefault="00D4151D" w:rsidP="0032518F">
            <w:pPr>
              <w:jc w:val="center"/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>科　　目</w:t>
            </w:r>
          </w:p>
        </w:tc>
        <w:tc>
          <w:tcPr>
            <w:tcW w:w="4184" w:type="dxa"/>
            <w:gridSpan w:val="3"/>
          </w:tcPr>
          <w:p w:rsidR="00D4151D" w:rsidRPr="00AA74D6" w:rsidRDefault="00D4151D" w:rsidP="0032518F">
            <w:pPr>
              <w:jc w:val="center"/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>金額（単位：円）</w:t>
            </w:r>
          </w:p>
        </w:tc>
      </w:tr>
      <w:tr w:rsidR="00D4151D" w:rsidRPr="00AA74D6">
        <w:trPr>
          <w:trHeight w:val="4116"/>
        </w:trPr>
        <w:tc>
          <w:tcPr>
            <w:tcW w:w="5455" w:type="dxa"/>
            <w:vMerge w:val="restart"/>
          </w:tcPr>
          <w:p w:rsidR="00D4151D" w:rsidRPr="00AA74D6" w:rsidRDefault="00D4151D" w:rsidP="000D183A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>Ⅰ　経常収支の部</w:t>
            </w:r>
          </w:p>
          <w:p w:rsidR="00D4151D" w:rsidRPr="00AA74D6" w:rsidRDefault="00D4151D" w:rsidP="000D183A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１　会費・入会金収入</w:t>
            </w:r>
          </w:p>
          <w:p w:rsidR="00D4151D" w:rsidRPr="00FE156F" w:rsidRDefault="00D4151D" w:rsidP="000D183A">
            <w:pPr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</w:rPr>
              <w:t xml:space="preserve">　　　</w:t>
            </w:r>
            <w:r w:rsidRPr="00AA74D6">
              <w:rPr>
                <w:rFonts w:cs="ＭＳ 明朝" w:hint="eastAsia"/>
              </w:rPr>
              <w:t xml:space="preserve">　会</w:t>
            </w:r>
            <w:r w:rsidRPr="00FE156F">
              <w:rPr>
                <w:rFonts w:cs="ＭＳ 明朝" w:hint="eastAsia"/>
                <w:color w:val="000000"/>
              </w:rPr>
              <w:t>費収入　（正会員</w:t>
            </w:r>
            <w:r>
              <w:rPr>
                <w:color w:val="000000"/>
              </w:rPr>
              <w:t>10</w:t>
            </w:r>
            <w:r w:rsidRPr="00FE156F">
              <w:rPr>
                <w:rFonts w:cs="ＭＳ 明朝" w:hint="eastAsia"/>
                <w:color w:val="000000"/>
              </w:rPr>
              <w:t>名、賛助会員</w:t>
            </w:r>
            <w:r>
              <w:rPr>
                <w:color w:val="000000"/>
              </w:rPr>
              <w:t>20</w:t>
            </w:r>
            <w:r w:rsidRPr="00FE156F">
              <w:rPr>
                <w:rFonts w:cs="ＭＳ 明朝" w:hint="eastAsia"/>
                <w:color w:val="000000"/>
              </w:rPr>
              <w:t>名）</w:t>
            </w:r>
          </w:p>
          <w:p w:rsidR="00D4151D" w:rsidRPr="00FE156F" w:rsidRDefault="00D4151D" w:rsidP="000D183A">
            <w:pPr>
              <w:rPr>
                <w:rFonts w:cs="Times New Roman"/>
                <w:color w:val="000000"/>
              </w:rPr>
            </w:pPr>
            <w:r w:rsidRPr="00FE156F">
              <w:rPr>
                <w:rFonts w:cs="ＭＳ 明朝" w:hint="eastAsia"/>
                <w:color w:val="000000"/>
              </w:rPr>
              <w:t xml:space="preserve">　　　　入会金収入（正会員</w:t>
            </w:r>
            <w:r w:rsidRPr="00FE156F">
              <w:rPr>
                <w:color w:val="000000"/>
              </w:rPr>
              <w:t>5</w:t>
            </w:r>
            <w:r w:rsidRPr="00FE156F">
              <w:rPr>
                <w:rFonts w:cs="ＭＳ 明朝" w:hint="eastAsia"/>
                <w:color w:val="000000"/>
              </w:rPr>
              <w:t>名、賛助会員</w:t>
            </w:r>
            <w:r w:rsidRPr="00FE156F">
              <w:rPr>
                <w:color w:val="000000"/>
              </w:rPr>
              <w:t>10</w:t>
            </w:r>
            <w:r w:rsidRPr="00FE156F">
              <w:rPr>
                <w:rFonts w:cs="ＭＳ 明朝" w:hint="eastAsia"/>
                <w:color w:val="000000"/>
              </w:rPr>
              <w:t>名）</w:t>
            </w:r>
          </w:p>
          <w:p w:rsidR="00D4151D" w:rsidRPr="00AA74D6" w:rsidRDefault="00D4151D" w:rsidP="000D183A">
            <w:pPr>
              <w:rPr>
                <w:rFonts w:cs="Times New Roman"/>
              </w:rPr>
            </w:pPr>
          </w:p>
          <w:p w:rsidR="00D4151D" w:rsidRPr="00AA74D6" w:rsidRDefault="00D4151D" w:rsidP="000D183A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２　事業収入</w:t>
            </w:r>
          </w:p>
          <w:p w:rsidR="00D4151D" w:rsidRPr="000D183A" w:rsidRDefault="00D4151D" w:rsidP="009C0B51">
            <w:pPr>
              <w:ind w:left="570" w:hangingChars="296" w:hanging="570"/>
              <w:rPr>
                <w:rFonts w:cs="Times New Roman"/>
                <w:color w:val="000000"/>
              </w:rPr>
            </w:pPr>
            <w:r w:rsidRPr="00AA74D6">
              <w:rPr>
                <w:rFonts w:cs="ＭＳ 明朝" w:hint="eastAsia"/>
              </w:rPr>
              <w:t xml:space="preserve">　　　</w:t>
            </w:r>
            <w:r w:rsidRPr="000D183A">
              <w:rPr>
                <w:rFonts w:cs="ＭＳ 明朝" w:hint="eastAsia"/>
                <w:color w:val="000000"/>
              </w:rPr>
              <w:t xml:space="preserve">　障害者自立支援法に基づく、就労継続Ａ型事業</w:t>
            </w:r>
          </w:p>
          <w:p w:rsidR="00D4151D" w:rsidRPr="000D183A" w:rsidRDefault="00D4151D" w:rsidP="000D183A">
            <w:pPr>
              <w:rPr>
                <w:rFonts w:cs="Times New Roman"/>
                <w:color w:val="000000"/>
              </w:rPr>
            </w:pPr>
            <w:r w:rsidRPr="000D183A">
              <w:rPr>
                <w:rFonts w:cs="ＭＳ 明朝" w:hint="eastAsia"/>
                <w:color w:val="000000"/>
              </w:rPr>
              <w:t xml:space="preserve">　　　　障害を持つ方々に対しての余暇支援</w:t>
            </w:r>
          </w:p>
          <w:p w:rsidR="00D4151D" w:rsidRPr="000D183A" w:rsidRDefault="00D4151D" w:rsidP="009C0B51">
            <w:pPr>
              <w:ind w:left="576" w:hangingChars="299" w:hanging="576"/>
              <w:rPr>
                <w:rFonts w:cs="Times New Roman"/>
                <w:color w:val="000000"/>
              </w:rPr>
            </w:pPr>
            <w:r w:rsidRPr="000D183A">
              <w:rPr>
                <w:rFonts w:cs="ＭＳ 明朝" w:hint="eastAsia"/>
                <w:color w:val="000000"/>
              </w:rPr>
              <w:t xml:space="preserve">　　　　障害を持つ方の一般就労を促進するための啓蒙活動の実施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３　寄付金収入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４　補助金収入</w:t>
            </w:r>
          </w:p>
          <w:p w:rsidR="00D4151D" w:rsidRPr="00AA74D6" w:rsidRDefault="00D4151D" w:rsidP="000D183A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　　　就労継続</w:t>
            </w:r>
            <w:r w:rsidRPr="00AA74D6">
              <w:t>A</w:t>
            </w:r>
            <w:r w:rsidRPr="00AA74D6">
              <w:rPr>
                <w:rFonts w:cs="ＭＳ 明朝" w:hint="eastAsia"/>
              </w:rPr>
              <w:t>訓練給付費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　　経常収入合計（</w:t>
            </w:r>
            <w:r w:rsidRPr="00AA74D6">
              <w:t>A</w:t>
            </w:r>
            <w:r w:rsidRPr="00AA74D6">
              <w:rPr>
                <w:rFonts w:cs="ＭＳ 明朝" w:hint="eastAsia"/>
              </w:rPr>
              <w:t>）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>Ⅱ　経常支出の部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１　事業費</w:t>
            </w:r>
          </w:p>
          <w:p w:rsidR="00D4151D" w:rsidRPr="000D183A" w:rsidRDefault="00D4151D" w:rsidP="009C0B51">
            <w:pPr>
              <w:ind w:left="570" w:hangingChars="296" w:hanging="570"/>
              <w:rPr>
                <w:rFonts w:cs="Times New Roman"/>
                <w:color w:val="000000"/>
              </w:rPr>
            </w:pPr>
            <w:r w:rsidRPr="00AA74D6">
              <w:rPr>
                <w:rFonts w:cs="ＭＳ 明朝" w:hint="eastAsia"/>
              </w:rPr>
              <w:t xml:space="preserve">　　　</w:t>
            </w:r>
            <w:r w:rsidRPr="000D183A">
              <w:rPr>
                <w:rFonts w:cs="ＭＳ 明朝" w:hint="eastAsia"/>
                <w:color w:val="000000"/>
              </w:rPr>
              <w:t xml:space="preserve">　障害者自立支援法に基づく、就労継続Ａ型事業</w:t>
            </w:r>
          </w:p>
          <w:p w:rsidR="00D4151D" w:rsidRPr="000D183A" w:rsidRDefault="00D4151D" w:rsidP="005D1FA2">
            <w:pPr>
              <w:rPr>
                <w:rFonts w:cs="Times New Roman"/>
                <w:color w:val="000000"/>
              </w:rPr>
            </w:pPr>
            <w:r w:rsidRPr="000D183A">
              <w:rPr>
                <w:rFonts w:cs="ＭＳ 明朝" w:hint="eastAsia"/>
                <w:color w:val="000000"/>
              </w:rPr>
              <w:t xml:space="preserve">　　　　障害を持つ方々に対しての余暇支援</w:t>
            </w:r>
          </w:p>
          <w:p w:rsidR="00D4151D" w:rsidRPr="000D183A" w:rsidRDefault="00D4151D" w:rsidP="009C0B51">
            <w:pPr>
              <w:ind w:left="576" w:hangingChars="299" w:hanging="576"/>
              <w:rPr>
                <w:rFonts w:cs="Times New Roman"/>
                <w:color w:val="000000"/>
              </w:rPr>
            </w:pPr>
            <w:r w:rsidRPr="000D183A">
              <w:rPr>
                <w:rFonts w:cs="ＭＳ 明朝" w:hint="eastAsia"/>
                <w:color w:val="000000"/>
              </w:rPr>
              <w:t xml:space="preserve">　　　　障害を持つ方の一般就労を促進するための啓蒙活動の実施</w:t>
            </w:r>
          </w:p>
          <w:p w:rsidR="00D4151D" w:rsidRPr="005D1FA2" w:rsidRDefault="00D4151D" w:rsidP="0032518F">
            <w:pPr>
              <w:rPr>
                <w:rFonts w:cs="Times New Roman"/>
              </w:rPr>
            </w:pP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２　管理費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　　経常支出合計（</w:t>
            </w:r>
            <w:r w:rsidRPr="00AA74D6">
              <w:t>B</w:t>
            </w:r>
            <w:r w:rsidRPr="00AA74D6">
              <w:rPr>
                <w:rFonts w:cs="ＭＳ 明朝" w:hint="eastAsia"/>
              </w:rPr>
              <w:t>）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　経常収支差益（</w:t>
            </w:r>
            <w:r w:rsidRPr="00AA74D6">
              <w:t>C</w:t>
            </w:r>
            <w:r w:rsidRPr="00AA74D6">
              <w:rPr>
                <w:rFonts w:cs="ＭＳ 明朝" w:hint="eastAsia"/>
              </w:rPr>
              <w:t>）＝（</w:t>
            </w:r>
            <w:r w:rsidRPr="00AA74D6">
              <w:t>A</w:t>
            </w:r>
            <w:r w:rsidRPr="00AA74D6">
              <w:rPr>
                <w:rFonts w:cs="ＭＳ 明朝" w:hint="eastAsia"/>
              </w:rPr>
              <w:t>）－（</w:t>
            </w:r>
            <w:r w:rsidRPr="00AA74D6">
              <w:t>B</w:t>
            </w:r>
            <w:r w:rsidRPr="00AA74D6">
              <w:rPr>
                <w:rFonts w:cs="ＭＳ 明朝" w:hint="eastAsia"/>
              </w:rPr>
              <w:t>）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>Ⅲ　その他資金収入の部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　その他資金収入合計（</w:t>
            </w:r>
            <w:r w:rsidRPr="00AA74D6">
              <w:t>D</w:t>
            </w:r>
            <w:r w:rsidRPr="00AA74D6">
              <w:rPr>
                <w:rFonts w:cs="ＭＳ 明朝" w:hint="eastAsia"/>
              </w:rPr>
              <w:t>）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>Ⅳ　その他資金支出の部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１　固定資産取得支出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２　予備費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　　その他資金支出合計（</w:t>
            </w:r>
            <w:r w:rsidRPr="00AA74D6">
              <w:t>E</w:t>
            </w:r>
            <w:r w:rsidRPr="00AA74D6">
              <w:rPr>
                <w:rFonts w:cs="ＭＳ 明朝" w:hint="eastAsia"/>
              </w:rPr>
              <w:t>）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当期収支差額</w:t>
            </w:r>
            <w:r w:rsidRPr="00AA74D6">
              <w:rPr>
                <w:rFonts w:cs="ＭＳ 明朝" w:hint="eastAsia"/>
              </w:rPr>
              <w:t>（</w:t>
            </w:r>
            <w:r w:rsidRPr="00AA74D6">
              <w:t>F</w:t>
            </w:r>
            <w:r w:rsidRPr="00AA74D6">
              <w:rPr>
                <w:rFonts w:cs="ＭＳ 明朝" w:hint="eastAsia"/>
              </w:rPr>
              <w:t>）</w:t>
            </w:r>
            <w:r w:rsidRPr="00AA74D6">
              <w:t>=(C)+(D)</w:t>
            </w:r>
            <w:r w:rsidRPr="00AA74D6">
              <w:rPr>
                <w:rFonts w:cs="ＭＳ 明朝" w:hint="eastAsia"/>
              </w:rPr>
              <w:t>－（</w:t>
            </w:r>
            <w:r w:rsidRPr="00AA74D6">
              <w:t>E</w:t>
            </w:r>
            <w:r w:rsidRPr="00AA74D6">
              <w:rPr>
                <w:rFonts w:cs="ＭＳ 明朝" w:hint="eastAsia"/>
              </w:rPr>
              <w:t>）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前期繰越収支差額</w:t>
            </w:r>
            <w:r w:rsidRPr="00AA74D6">
              <w:rPr>
                <w:rFonts w:cs="ＭＳ 明朝" w:hint="eastAsia"/>
              </w:rPr>
              <w:t>（</w:t>
            </w:r>
            <w:r w:rsidRPr="00AA74D6">
              <w:t>G</w:t>
            </w:r>
            <w:r w:rsidRPr="00AA74D6">
              <w:rPr>
                <w:rFonts w:cs="ＭＳ 明朝" w:hint="eastAsia"/>
              </w:rPr>
              <w:t>）</w:t>
            </w:r>
          </w:p>
          <w:p w:rsidR="00D4151D" w:rsidRPr="00AA74D6" w:rsidRDefault="00D4151D" w:rsidP="0032518F">
            <w:pPr>
              <w:rPr>
                <w:rFonts w:cs="Times New Roman"/>
              </w:rPr>
            </w:pPr>
            <w:r w:rsidRPr="00AA74D6">
              <w:rPr>
                <w:rFonts w:cs="ＭＳ 明朝" w:hint="eastAsia"/>
              </w:rPr>
              <w:t xml:space="preserve">　　次期繰越収支差額（</w:t>
            </w:r>
            <w:r w:rsidRPr="00AA74D6">
              <w:t>H</w:t>
            </w:r>
            <w:r w:rsidRPr="00AA74D6">
              <w:rPr>
                <w:rFonts w:cs="ＭＳ 明朝" w:hint="eastAsia"/>
              </w:rPr>
              <w:t>）</w:t>
            </w:r>
            <w:r w:rsidRPr="00AA74D6">
              <w:t>=(F)</w:t>
            </w:r>
            <w:r w:rsidRPr="00AA74D6">
              <w:rPr>
                <w:rFonts w:cs="ＭＳ 明朝" w:hint="eastAsia"/>
              </w:rPr>
              <w:t>＋（</w:t>
            </w:r>
            <w:r w:rsidRPr="00AA74D6">
              <w:t>G</w:t>
            </w:r>
            <w:r w:rsidRPr="00AA74D6">
              <w:rPr>
                <w:rFonts w:cs="ＭＳ 明朝" w:hint="eastAsia"/>
              </w:rPr>
              <w:t>）</w:t>
            </w:r>
          </w:p>
        </w:tc>
        <w:tc>
          <w:tcPr>
            <w:tcW w:w="1544" w:type="dxa"/>
            <w:vMerge w:val="restart"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70,000</w:t>
            </w:r>
          </w:p>
          <w:p w:rsidR="00D4151D" w:rsidRDefault="00D4151D" w:rsidP="0032518F">
            <w:pPr>
              <w:jc w:val="right"/>
            </w:pPr>
            <w:r>
              <w:t>100,000</w:t>
            </w:r>
          </w:p>
          <w:p w:rsidR="00D4151D" w:rsidRDefault="00D4151D" w:rsidP="0032518F">
            <w:pPr>
              <w:jc w:val="right"/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30,000,000</w:t>
            </w: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0</w:t>
            </w: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0</w:t>
            </w: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jc w:val="right"/>
            </w:pPr>
            <w:r>
              <w:t>0</w:t>
            </w: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B95641">
            <w:pPr>
              <w:jc w:val="right"/>
              <w:rPr>
                <w:rFonts w:cs="Times New Roman"/>
              </w:rPr>
            </w:pPr>
            <w:r>
              <w:t>45,000,000</w:t>
            </w:r>
          </w:p>
          <w:p w:rsidR="00D4151D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35,000,000</w:t>
            </w:r>
          </w:p>
          <w:p w:rsidR="00D4151D" w:rsidRDefault="00D4151D" w:rsidP="0032518F">
            <w:pPr>
              <w:jc w:val="right"/>
            </w:pPr>
            <w:r>
              <w:t>20,000</w:t>
            </w:r>
          </w:p>
          <w:p w:rsidR="00D4151D" w:rsidRDefault="00D4151D" w:rsidP="0032518F">
            <w:pPr>
              <w:jc w:val="right"/>
            </w:pPr>
            <w:r>
              <w:t>0</w:t>
            </w:r>
          </w:p>
          <w:p w:rsidR="00D4151D" w:rsidRDefault="00D4151D" w:rsidP="0032518F">
            <w:pPr>
              <w:jc w:val="right"/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40,150,000</w:t>
            </w: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0</w:t>
            </w:r>
          </w:p>
          <w:p w:rsidR="00D4151D" w:rsidRDefault="00D4151D" w:rsidP="0032518F">
            <w:pPr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jc w:val="right"/>
            </w:pPr>
            <w:r>
              <w:t>0</w:t>
            </w:r>
          </w:p>
          <w:p w:rsidR="00D4151D" w:rsidRPr="00AA74D6" w:rsidRDefault="00D4151D" w:rsidP="0032518F">
            <w:pPr>
              <w:ind w:right="96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0</w:t>
            </w: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 w:val="restart"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170,000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30,000,000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45,000,000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35,020,000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40,150,000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  <w:r>
              <w:t>0</w:t>
            </w: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</w:pPr>
            <w:r>
              <w:t>0</w:t>
            </w:r>
          </w:p>
          <w:p w:rsidR="00D4151D" w:rsidRDefault="00D4151D" w:rsidP="0032518F">
            <w:pPr>
              <w:widowControl/>
              <w:jc w:val="right"/>
            </w:pPr>
          </w:p>
          <w:p w:rsidR="00D4151D" w:rsidRDefault="00D4151D" w:rsidP="0032518F">
            <w:pPr>
              <w:widowControl/>
              <w:jc w:val="right"/>
            </w:pPr>
          </w:p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75,170,000</w:t>
            </w:r>
          </w:p>
        </w:tc>
      </w:tr>
      <w:tr w:rsidR="00D4151D" w:rsidRPr="00AA74D6">
        <w:trPr>
          <w:trHeight w:val="1950"/>
        </w:trPr>
        <w:tc>
          <w:tcPr>
            <w:tcW w:w="5455" w:type="dxa"/>
            <w:vMerge/>
          </w:tcPr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544" w:type="dxa"/>
            <w:vMerge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75,170,000</w:t>
            </w:r>
          </w:p>
        </w:tc>
      </w:tr>
      <w:tr w:rsidR="00D4151D" w:rsidRPr="00AA74D6">
        <w:trPr>
          <w:trHeight w:val="210"/>
        </w:trPr>
        <w:tc>
          <w:tcPr>
            <w:tcW w:w="5455" w:type="dxa"/>
            <w:vMerge/>
          </w:tcPr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544" w:type="dxa"/>
            <w:vMerge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0</w:t>
            </w:r>
          </w:p>
        </w:tc>
      </w:tr>
      <w:tr w:rsidR="00D4151D" w:rsidRPr="00AA74D6">
        <w:trPr>
          <w:trHeight w:val="495"/>
        </w:trPr>
        <w:tc>
          <w:tcPr>
            <w:tcW w:w="5455" w:type="dxa"/>
            <w:vMerge/>
          </w:tcPr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544" w:type="dxa"/>
            <w:vMerge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Default="00D4151D" w:rsidP="0032518F">
            <w:pPr>
              <w:jc w:val="right"/>
            </w:pPr>
            <w:r>
              <w:t>0</w:t>
            </w:r>
          </w:p>
        </w:tc>
      </w:tr>
      <w:tr w:rsidR="00D4151D" w:rsidRPr="00AA74D6">
        <w:trPr>
          <w:trHeight w:val="1350"/>
        </w:trPr>
        <w:tc>
          <w:tcPr>
            <w:tcW w:w="5455" w:type="dxa"/>
            <w:vMerge/>
          </w:tcPr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544" w:type="dxa"/>
            <w:vMerge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0</w:t>
            </w:r>
          </w:p>
        </w:tc>
      </w:tr>
      <w:tr w:rsidR="00D4151D" w:rsidRPr="00AA74D6">
        <w:trPr>
          <w:trHeight w:val="165"/>
        </w:trPr>
        <w:tc>
          <w:tcPr>
            <w:tcW w:w="5455" w:type="dxa"/>
            <w:vMerge/>
          </w:tcPr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544" w:type="dxa"/>
            <w:vMerge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  <w:r>
              <w:t>0</w:t>
            </w:r>
          </w:p>
        </w:tc>
      </w:tr>
      <w:tr w:rsidR="00D4151D" w:rsidRPr="00AA74D6">
        <w:trPr>
          <w:trHeight w:val="269"/>
        </w:trPr>
        <w:tc>
          <w:tcPr>
            <w:tcW w:w="5455" w:type="dxa"/>
            <w:vMerge/>
          </w:tcPr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544" w:type="dxa"/>
            <w:vMerge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Default="00D4151D" w:rsidP="0032518F">
            <w:pPr>
              <w:jc w:val="right"/>
            </w:pPr>
            <w:r>
              <w:t>0</w:t>
            </w:r>
          </w:p>
        </w:tc>
      </w:tr>
      <w:tr w:rsidR="00D4151D" w:rsidRPr="00AA74D6">
        <w:trPr>
          <w:trHeight w:val="252"/>
        </w:trPr>
        <w:tc>
          <w:tcPr>
            <w:tcW w:w="5455" w:type="dxa"/>
            <w:vMerge/>
          </w:tcPr>
          <w:p w:rsidR="00D4151D" w:rsidRPr="00AA74D6" w:rsidRDefault="00D4151D" w:rsidP="0032518F">
            <w:pPr>
              <w:rPr>
                <w:rFonts w:cs="Times New Roman"/>
              </w:rPr>
            </w:pPr>
          </w:p>
        </w:tc>
        <w:tc>
          <w:tcPr>
            <w:tcW w:w="1544" w:type="dxa"/>
            <w:vMerge/>
          </w:tcPr>
          <w:p w:rsidR="00D4151D" w:rsidRPr="00AA74D6" w:rsidRDefault="00D4151D" w:rsidP="0032518F">
            <w:pPr>
              <w:jc w:val="right"/>
              <w:rPr>
                <w:rFonts w:cs="Times New Roman"/>
              </w:rPr>
            </w:pPr>
          </w:p>
        </w:tc>
        <w:tc>
          <w:tcPr>
            <w:tcW w:w="1351" w:type="dxa"/>
            <w:vMerge/>
          </w:tcPr>
          <w:p w:rsidR="00D4151D" w:rsidRPr="00AA74D6" w:rsidRDefault="00D4151D" w:rsidP="0032518F">
            <w:pPr>
              <w:widowControl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D4151D" w:rsidRDefault="00D4151D" w:rsidP="0032518F">
            <w:pPr>
              <w:jc w:val="right"/>
            </w:pPr>
            <w:r>
              <w:t>0</w:t>
            </w:r>
          </w:p>
        </w:tc>
      </w:tr>
    </w:tbl>
    <w:p w:rsidR="00D4151D" w:rsidRDefault="00D4151D" w:rsidP="005A2AB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D4151D" w:rsidRDefault="00D4151D" w:rsidP="00993EB9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:rsidR="00D4151D" w:rsidRDefault="00D4151D" w:rsidP="00993EB9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:rsidR="00D4151D" w:rsidRPr="00993EB9" w:rsidRDefault="00D4151D" w:rsidP="00993EB9">
      <w:pPr>
        <w:rPr>
          <w:rFonts w:cs="Times New Roman"/>
        </w:rPr>
      </w:pPr>
    </w:p>
    <w:sectPr w:rsidR="00D4151D" w:rsidRPr="00993EB9" w:rsidSect="00A309A9">
      <w:pgSz w:w="11906" w:h="16838" w:code="9"/>
      <w:pgMar w:top="851" w:right="851" w:bottom="851" w:left="965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1D" w:rsidRDefault="00D4151D" w:rsidP="006532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151D" w:rsidRDefault="00D4151D" w:rsidP="006532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altName w:val="ＭＳ 明朝"/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1D" w:rsidRDefault="00D4151D" w:rsidP="006532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151D" w:rsidRDefault="00D4151D" w:rsidP="006532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C36"/>
    <w:rsid w:val="000743E3"/>
    <w:rsid w:val="000A5A9F"/>
    <w:rsid w:val="000B784D"/>
    <w:rsid w:val="000D183A"/>
    <w:rsid w:val="000D581A"/>
    <w:rsid w:val="000D792F"/>
    <w:rsid w:val="00132EF6"/>
    <w:rsid w:val="001B70F5"/>
    <w:rsid w:val="001C13C2"/>
    <w:rsid w:val="001C47A7"/>
    <w:rsid w:val="001D49AA"/>
    <w:rsid w:val="001F00E8"/>
    <w:rsid w:val="00243E19"/>
    <w:rsid w:val="00277B0E"/>
    <w:rsid w:val="002B0081"/>
    <w:rsid w:val="002B03D7"/>
    <w:rsid w:val="002C6E73"/>
    <w:rsid w:val="002F119B"/>
    <w:rsid w:val="002F726F"/>
    <w:rsid w:val="002F7C8E"/>
    <w:rsid w:val="00320CFD"/>
    <w:rsid w:val="0032518F"/>
    <w:rsid w:val="003D67BC"/>
    <w:rsid w:val="004067F4"/>
    <w:rsid w:val="00451FDD"/>
    <w:rsid w:val="004767B5"/>
    <w:rsid w:val="004A015A"/>
    <w:rsid w:val="004E1556"/>
    <w:rsid w:val="0050338A"/>
    <w:rsid w:val="00530EC9"/>
    <w:rsid w:val="00555A00"/>
    <w:rsid w:val="00556BF9"/>
    <w:rsid w:val="00561BED"/>
    <w:rsid w:val="00572204"/>
    <w:rsid w:val="005754F8"/>
    <w:rsid w:val="005A2AB7"/>
    <w:rsid w:val="005B2C77"/>
    <w:rsid w:val="005C0CE3"/>
    <w:rsid w:val="005C5F5E"/>
    <w:rsid w:val="005D0104"/>
    <w:rsid w:val="005D1FA2"/>
    <w:rsid w:val="005E17A8"/>
    <w:rsid w:val="006532B6"/>
    <w:rsid w:val="00665170"/>
    <w:rsid w:val="00691AEF"/>
    <w:rsid w:val="006A2E58"/>
    <w:rsid w:val="006F13CF"/>
    <w:rsid w:val="00706D86"/>
    <w:rsid w:val="00710F31"/>
    <w:rsid w:val="007302FC"/>
    <w:rsid w:val="007422BE"/>
    <w:rsid w:val="00782035"/>
    <w:rsid w:val="007B3F01"/>
    <w:rsid w:val="007F1398"/>
    <w:rsid w:val="007F6114"/>
    <w:rsid w:val="00802CB5"/>
    <w:rsid w:val="00803DFA"/>
    <w:rsid w:val="0082101F"/>
    <w:rsid w:val="00822848"/>
    <w:rsid w:val="0086440E"/>
    <w:rsid w:val="00893881"/>
    <w:rsid w:val="00895923"/>
    <w:rsid w:val="00914484"/>
    <w:rsid w:val="00915773"/>
    <w:rsid w:val="00937FE3"/>
    <w:rsid w:val="0094218F"/>
    <w:rsid w:val="00946E14"/>
    <w:rsid w:val="009904FF"/>
    <w:rsid w:val="00993EB9"/>
    <w:rsid w:val="009A479D"/>
    <w:rsid w:val="009C0B51"/>
    <w:rsid w:val="009E0512"/>
    <w:rsid w:val="00A01CF5"/>
    <w:rsid w:val="00A05873"/>
    <w:rsid w:val="00A13722"/>
    <w:rsid w:val="00A309A9"/>
    <w:rsid w:val="00A51FE3"/>
    <w:rsid w:val="00AA74D6"/>
    <w:rsid w:val="00AC70FB"/>
    <w:rsid w:val="00AD486C"/>
    <w:rsid w:val="00AE7EC8"/>
    <w:rsid w:val="00B115F1"/>
    <w:rsid w:val="00B760EA"/>
    <w:rsid w:val="00B95641"/>
    <w:rsid w:val="00BE7A79"/>
    <w:rsid w:val="00BF4568"/>
    <w:rsid w:val="00BF4E74"/>
    <w:rsid w:val="00C03443"/>
    <w:rsid w:val="00C152D1"/>
    <w:rsid w:val="00C1547B"/>
    <w:rsid w:val="00C42055"/>
    <w:rsid w:val="00CA1964"/>
    <w:rsid w:val="00CB5D8A"/>
    <w:rsid w:val="00CE1FED"/>
    <w:rsid w:val="00CF67FC"/>
    <w:rsid w:val="00D4151D"/>
    <w:rsid w:val="00D43D5E"/>
    <w:rsid w:val="00D62F6A"/>
    <w:rsid w:val="00DD0A0D"/>
    <w:rsid w:val="00DD36A5"/>
    <w:rsid w:val="00DD5561"/>
    <w:rsid w:val="00DE7391"/>
    <w:rsid w:val="00DF2A72"/>
    <w:rsid w:val="00E20E74"/>
    <w:rsid w:val="00E36C36"/>
    <w:rsid w:val="00E55584"/>
    <w:rsid w:val="00E75990"/>
    <w:rsid w:val="00EB51DC"/>
    <w:rsid w:val="00F16826"/>
    <w:rsid w:val="00F20759"/>
    <w:rsid w:val="00F233C5"/>
    <w:rsid w:val="00F245DE"/>
    <w:rsid w:val="00FA5162"/>
    <w:rsid w:val="00FA6D21"/>
    <w:rsid w:val="00FB1369"/>
    <w:rsid w:val="00FE156F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A2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C36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532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2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32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129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平成２４年度特定非営利活動に係る事業会計収支予算書</dc:title>
  <dc:subject/>
  <dc:creator>sasaki</dc:creator>
  <cp:keywords/>
  <dc:description/>
  <cp:lastModifiedBy>owner</cp:lastModifiedBy>
  <cp:revision>3</cp:revision>
  <cp:lastPrinted>2015-10-28T19:26:00Z</cp:lastPrinted>
  <dcterms:created xsi:type="dcterms:W3CDTF">2015-10-28T19:26:00Z</dcterms:created>
  <dcterms:modified xsi:type="dcterms:W3CDTF">2015-10-28T19:33:00Z</dcterms:modified>
</cp:coreProperties>
</file>